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B5" w:rsidRPr="00BC000B" w:rsidRDefault="001467C4" w:rsidP="001467C4">
      <w:pPr>
        <w:jc w:val="center"/>
        <w:rPr>
          <w:rFonts w:ascii="Times New Roman" w:hAnsi="Times New Roman" w:cs="Times New Roman"/>
          <w:sz w:val="32"/>
          <w:szCs w:val="32"/>
        </w:rPr>
      </w:pPr>
      <w:r w:rsidRPr="00BC000B">
        <w:rPr>
          <w:rFonts w:ascii="Times New Roman" w:hAnsi="Times New Roman" w:cs="Times New Roman"/>
          <w:sz w:val="32"/>
          <w:szCs w:val="32"/>
        </w:rPr>
        <w:t>Неделя ПДД.</w:t>
      </w:r>
    </w:p>
    <w:p w:rsidR="001467C4" w:rsidRPr="00BC000B" w:rsidRDefault="001467C4" w:rsidP="001467C4">
      <w:pPr>
        <w:jc w:val="center"/>
        <w:rPr>
          <w:rFonts w:ascii="Times New Roman" w:hAnsi="Times New Roman" w:cs="Times New Roman"/>
          <w:sz w:val="32"/>
          <w:szCs w:val="32"/>
        </w:rPr>
      </w:pPr>
      <w:r w:rsidRPr="00BC000B">
        <w:rPr>
          <w:rFonts w:ascii="Times New Roman" w:hAnsi="Times New Roman" w:cs="Times New Roman"/>
          <w:sz w:val="32"/>
          <w:szCs w:val="32"/>
        </w:rPr>
        <w:t>С 17</w:t>
      </w:r>
      <w:proofErr w:type="gramStart"/>
      <w:r w:rsidRPr="00BC000B">
        <w:rPr>
          <w:rFonts w:ascii="Times New Roman" w:hAnsi="Times New Roman" w:cs="Times New Roman"/>
          <w:sz w:val="32"/>
          <w:szCs w:val="32"/>
        </w:rPr>
        <w:t>мая  по</w:t>
      </w:r>
      <w:proofErr w:type="gramEnd"/>
      <w:r w:rsidRPr="00BC000B">
        <w:rPr>
          <w:rFonts w:ascii="Times New Roman" w:hAnsi="Times New Roman" w:cs="Times New Roman"/>
          <w:sz w:val="32"/>
          <w:szCs w:val="32"/>
        </w:rPr>
        <w:t>21 мая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6"/>
        <w:gridCol w:w="2337"/>
      </w:tblGrid>
      <w:tr w:rsidR="001467C4" w:rsidRPr="00BC000B" w:rsidTr="001467C4">
        <w:tc>
          <w:tcPr>
            <w:tcW w:w="704" w:type="dxa"/>
          </w:tcPr>
          <w:p w:rsidR="001467C4" w:rsidRPr="00BC000B" w:rsidRDefault="001467C4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3968" w:type="dxa"/>
          </w:tcPr>
          <w:p w:rsidR="001467C4" w:rsidRPr="00BC000B" w:rsidRDefault="001467C4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Мероприятие</w:t>
            </w:r>
          </w:p>
        </w:tc>
        <w:tc>
          <w:tcPr>
            <w:tcW w:w="2336" w:type="dxa"/>
          </w:tcPr>
          <w:p w:rsidR="001467C4" w:rsidRPr="00BC000B" w:rsidRDefault="001467C4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Сроки</w:t>
            </w:r>
          </w:p>
        </w:tc>
        <w:tc>
          <w:tcPr>
            <w:tcW w:w="2337" w:type="dxa"/>
          </w:tcPr>
          <w:p w:rsidR="001467C4" w:rsidRPr="00BC000B" w:rsidRDefault="001467C4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Отвественные</w:t>
            </w:r>
            <w:proofErr w:type="spellEnd"/>
          </w:p>
        </w:tc>
      </w:tr>
      <w:tr w:rsidR="001467C4" w:rsidRPr="00BC000B" w:rsidTr="001467C4">
        <w:tc>
          <w:tcPr>
            <w:tcW w:w="704" w:type="dxa"/>
          </w:tcPr>
          <w:p w:rsidR="001467C4" w:rsidRPr="00BC000B" w:rsidRDefault="001467C4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968" w:type="dxa"/>
          </w:tcPr>
          <w:p w:rsidR="001467C4" w:rsidRPr="00BC000B" w:rsidRDefault="001467C4" w:rsidP="001467C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Обозначение недели.</w:t>
            </w:r>
          </w:p>
          <w:p w:rsidR="001467C4" w:rsidRPr="00BC000B" w:rsidRDefault="001467C4" w:rsidP="001467C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Беседы о истории велосипеда.</w:t>
            </w:r>
          </w:p>
          <w:p w:rsidR="001467C4" w:rsidRPr="00BC000B" w:rsidRDefault="001467C4" w:rsidP="001467C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="00AF73D7" w:rsidRPr="00BC000B">
              <w:rPr>
                <w:rFonts w:ascii="Times New Roman" w:hAnsi="Times New Roman" w:cs="Times New Roman"/>
                <w:sz w:val="32"/>
                <w:szCs w:val="32"/>
              </w:rPr>
              <w:t xml:space="preserve"> Правила для велосипедистов.</w:t>
            </w:r>
          </w:p>
          <w:p w:rsidR="00AF73D7" w:rsidRPr="00BC000B" w:rsidRDefault="00AF73D7" w:rsidP="001467C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 xml:space="preserve">_-  Изготовление работ на </w:t>
            </w:r>
            <w:proofErr w:type="gramStart"/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выставку  (</w:t>
            </w:r>
            <w:proofErr w:type="gramEnd"/>
            <w:r w:rsidRPr="00BC000B">
              <w:rPr>
                <w:rFonts w:ascii="Times New Roman" w:hAnsi="Times New Roman" w:cs="Times New Roman"/>
                <w:sz w:val="32"/>
                <w:szCs w:val="32"/>
              </w:rPr>
              <w:t xml:space="preserve">рисунки, </w:t>
            </w:r>
            <w:proofErr w:type="spellStart"/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пластилинография</w:t>
            </w:r>
            <w:proofErr w:type="spellEnd"/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, аппликация, бросовый материал)</w:t>
            </w:r>
          </w:p>
          <w:p w:rsidR="00AF73D7" w:rsidRPr="00BC000B" w:rsidRDefault="00AF73D7" w:rsidP="001467C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Буклеты для родителей</w:t>
            </w:r>
          </w:p>
        </w:tc>
        <w:tc>
          <w:tcPr>
            <w:tcW w:w="2336" w:type="dxa"/>
          </w:tcPr>
          <w:p w:rsidR="001467C4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 xml:space="preserve">17 мая </w:t>
            </w:r>
          </w:p>
        </w:tc>
        <w:tc>
          <w:tcPr>
            <w:tcW w:w="2337" w:type="dxa"/>
          </w:tcPr>
          <w:p w:rsidR="001467C4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Воспитатели всех возрастных групп</w:t>
            </w:r>
          </w:p>
          <w:p w:rsidR="00AF73D7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F73D7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F73D7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F73D7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F73D7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Шипунова Е.Н.</w:t>
            </w:r>
          </w:p>
        </w:tc>
      </w:tr>
      <w:tr w:rsidR="001467C4" w:rsidRPr="00BC000B" w:rsidTr="001467C4">
        <w:tc>
          <w:tcPr>
            <w:tcW w:w="704" w:type="dxa"/>
          </w:tcPr>
          <w:p w:rsidR="001467C4" w:rsidRPr="00BC000B" w:rsidRDefault="001467C4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968" w:type="dxa"/>
          </w:tcPr>
          <w:p w:rsidR="001467C4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Оформление выставки «Мой друг велосипед»</w:t>
            </w:r>
          </w:p>
          <w:p w:rsidR="00AF73D7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Парад велосипедистов</w:t>
            </w:r>
          </w:p>
          <w:p w:rsidR="00AF73D7" w:rsidRPr="00BC000B" w:rsidRDefault="00AF73D7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 xml:space="preserve">- </w:t>
            </w:r>
            <w:proofErr w:type="spellStart"/>
            <w:r w:rsidR="00BC000B" w:rsidRPr="00BC000B">
              <w:rPr>
                <w:rFonts w:ascii="Times New Roman" w:hAnsi="Times New Roman" w:cs="Times New Roman"/>
                <w:sz w:val="32"/>
                <w:szCs w:val="32"/>
              </w:rPr>
              <w:t>Велоралли</w:t>
            </w:r>
            <w:proofErr w:type="spellEnd"/>
          </w:p>
        </w:tc>
        <w:tc>
          <w:tcPr>
            <w:tcW w:w="2336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18 мая</w:t>
            </w:r>
          </w:p>
        </w:tc>
        <w:tc>
          <w:tcPr>
            <w:tcW w:w="2337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Попова Л.В.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Шипунова Е.Н.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Искорцева</w:t>
            </w:r>
            <w:proofErr w:type="spellEnd"/>
            <w:r w:rsidRPr="00BC000B">
              <w:rPr>
                <w:rFonts w:ascii="Times New Roman" w:hAnsi="Times New Roman" w:cs="Times New Roman"/>
                <w:sz w:val="32"/>
                <w:szCs w:val="32"/>
              </w:rPr>
              <w:t xml:space="preserve"> Н.А.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Богомолова А.М.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Нестерова Т.М.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Шипунова Е.Н.</w:t>
            </w:r>
          </w:p>
        </w:tc>
      </w:tr>
      <w:tr w:rsidR="001467C4" w:rsidRPr="00BC000B" w:rsidTr="001467C4">
        <w:tc>
          <w:tcPr>
            <w:tcW w:w="704" w:type="dxa"/>
          </w:tcPr>
          <w:p w:rsidR="001467C4" w:rsidRPr="00BC000B" w:rsidRDefault="001467C4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968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Тематические викторины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Обучающие мультфильмы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Презентации</w:t>
            </w:r>
          </w:p>
        </w:tc>
        <w:tc>
          <w:tcPr>
            <w:tcW w:w="2336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19 мая</w:t>
            </w:r>
          </w:p>
        </w:tc>
        <w:tc>
          <w:tcPr>
            <w:tcW w:w="2337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Воспитатели всех возрастных групп</w:t>
            </w:r>
          </w:p>
        </w:tc>
      </w:tr>
      <w:tr w:rsidR="001467C4" w:rsidRPr="00BC000B" w:rsidTr="001467C4">
        <w:tc>
          <w:tcPr>
            <w:tcW w:w="704" w:type="dxa"/>
          </w:tcPr>
          <w:p w:rsidR="001467C4" w:rsidRPr="00BC000B" w:rsidRDefault="001467C4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968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Родительский патруль «Надписи на дороге»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Акция совместно с ГИБДД</w:t>
            </w:r>
          </w:p>
        </w:tc>
        <w:tc>
          <w:tcPr>
            <w:tcW w:w="2336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20 мая</w:t>
            </w:r>
          </w:p>
        </w:tc>
        <w:tc>
          <w:tcPr>
            <w:tcW w:w="2337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Попова Л.В.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Дьякова В.О.</w:t>
            </w:r>
          </w:p>
        </w:tc>
      </w:tr>
      <w:tr w:rsidR="001467C4" w:rsidRPr="00BC000B" w:rsidTr="001467C4">
        <w:tc>
          <w:tcPr>
            <w:tcW w:w="704" w:type="dxa"/>
          </w:tcPr>
          <w:p w:rsidR="001467C4" w:rsidRPr="00BC000B" w:rsidRDefault="001467C4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3968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Фотоотчёт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Статья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- Трансляция</w:t>
            </w:r>
          </w:p>
        </w:tc>
        <w:tc>
          <w:tcPr>
            <w:tcW w:w="2336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 xml:space="preserve">21 мая </w:t>
            </w:r>
          </w:p>
        </w:tc>
        <w:tc>
          <w:tcPr>
            <w:tcW w:w="2337" w:type="dxa"/>
          </w:tcPr>
          <w:p w:rsidR="001467C4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Все ответственные</w:t>
            </w:r>
          </w:p>
          <w:p w:rsidR="00BC000B" w:rsidRPr="00BC000B" w:rsidRDefault="00BC000B" w:rsidP="001467C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C000B">
              <w:rPr>
                <w:rFonts w:ascii="Times New Roman" w:hAnsi="Times New Roman" w:cs="Times New Roman"/>
                <w:sz w:val="32"/>
                <w:szCs w:val="32"/>
              </w:rPr>
              <w:t>Шипунова</w:t>
            </w:r>
          </w:p>
        </w:tc>
      </w:tr>
    </w:tbl>
    <w:p w:rsidR="001467C4" w:rsidRDefault="001467C4" w:rsidP="001467C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00D8" w:rsidRDefault="003100D8" w:rsidP="001467C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00D8" w:rsidRDefault="003100D8" w:rsidP="001467C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lastRenderedPageBreak/>
        <w:br/>
        <w:t>«Быстрый велосипед»</w:t>
      </w:r>
    </w:p>
    <w:p w:rsidR="003100D8" w:rsidRDefault="003100D8" w:rsidP="003100D8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По сигналу от стартовой линии начинается движение к ориентиру, объехать вокруг </w:t>
      </w:r>
      <w:proofErr w:type="gramStart"/>
      <w:r>
        <w:rPr>
          <w:color w:val="000000"/>
          <w:sz w:val="27"/>
          <w:szCs w:val="27"/>
        </w:rPr>
        <w:t>стойки  вернуться</w:t>
      </w:r>
      <w:proofErr w:type="gramEnd"/>
      <w:r>
        <w:rPr>
          <w:color w:val="000000"/>
          <w:sz w:val="27"/>
          <w:szCs w:val="27"/>
        </w:rPr>
        <w:t xml:space="preserve"> к своей команде, передать велосипед следующему участнику.</w:t>
      </w: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«Извилистая дорожка»</w:t>
      </w:r>
    </w:p>
    <w:p w:rsidR="003100D8" w:rsidRDefault="003100D8" w:rsidP="003100D8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велосипеде «</w:t>
      </w:r>
      <w:proofErr w:type="gramStart"/>
      <w:r>
        <w:rPr>
          <w:color w:val="000000"/>
          <w:sz w:val="27"/>
          <w:szCs w:val="27"/>
        </w:rPr>
        <w:t>змейкой»  объехать</w:t>
      </w:r>
      <w:proofErr w:type="gramEnd"/>
      <w:r>
        <w:rPr>
          <w:color w:val="000000"/>
          <w:sz w:val="27"/>
          <w:szCs w:val="27"/>
        </w:rPr>
        <w:t xml:space="preserve"> вокруг стоек до ориентира и так же вернуться к своей команде.  Выигрывает команда, первой выполнившая задание и не </w:t>
      </w:r>
      <w:proofErr w:type="gramStart"/>
      <w:r>
        <w:rPr>
          <w:color w:val="000000"/>
          <w:sz w:val="27"/>
          <w:szCs w:val="27"/>
        </w:rPr>
        <w:t>задевшая  кегли</w:t>
      </w:r>
      <w:proofErr w:type="gramEnd"/>
      <w:r>
        <w:rPr>
          <w:color w:val="000000"/>
          <w:sz w:val="27"/>
          <w:szCs w:val="27"/>
        </w:rPr>
        <w:t>.</w:t>
      </w: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«Попади в цель»</w:t>
      </w: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 команды едет на велосипеде по прямой, доезжает до </w:t>
      </w:r>
      <w:proofErr w:type="gramStart"/>
      <w:r>
        <w:rPr>
          <w:color w:val="000000"/>
          <w:sz w:val="27"/>
          <w:szCs w:val="27"/>
        </w:rPr>
        <w:t>стойки .</w:t>
      </w:r>
      <w:proofErr w:type="gramEnd"/>
      <w:r>
        <w:rPr>
          <w:color w:val="000000"/>
          <w:sz w:val="27"/>
          <w:szCs w:val="27"/>
        </w:rPr>
        <w:t xml:space="preserve"> Около стойки стоит корзина с мячами или тяжёлыми мешочками.</w:t>
      </w: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Через два метра от корзины лежит обруч или пустая корзина. Участник встаёт с велосипеда, берёт из корзины мяч и бросает в пустую корзину. После броска садится на велосипед и возвращается к своей команде, передаёт эстафету следующему участнику. Команда, которая пришла к финишу первой, получает один бал. За каждое попадание мячом в корзину прибавляется пол балла.</w:t>
      </w: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«Собери ленты»</w:t>
      </w: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Участнику команду на велосипеде нужно доехать до стойки. Около стойки стоит корзина с ленточками. Остановиться, взять из корзины ленту и привязать на руль велосипеда, и возвращаться к своей команде. Команда, которая закончила эстафету первой, получает один балл.</w:t>
      </w: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«Весёлый клоун»</w:t>
      </w: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Каждой команде раздать по одной большой клоунской шляпе. Проехать на велосипеде до стойки, объехать её и вернуться к своей команде, не потеряв шляпу и передать велосипед и шляпу следующему участнику. Команда победителей получает один балл.</w:t>
      </w: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00D8" w:rsidRDefault="003100D8" w:rsidP="003100D8">
      <w:pPr>
        <w:pStyle w:val="a6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100D8" w:rsidRDefault="003100D8" w:rsidP="003100D8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«Передай эстафету»</w:t>
      </w:r>
    </w:p>
    <w:p w:rsidR="003100D8" w:rsidRDefault="003100D8" w:rsidP="003100D8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В эстафете участвуют пять человек от команды. От стартовой </w:t>
      </w:r>
      <w:proofErr w:type="gramStart"/>
      <w:r>
        <w:rPr>
          <w:color w:val="000000"/>
          <w:sz w:val="27"/>
          <w:szCs w:val="27"/>
        </w:rPr>
        <w:t>линии  до</w:t>
      </w:r>
      <w:proofErr w:type="gramEnd"/>
      <w:r>
        <w:rPr>
          <w:color w:val="000000"/>
          <w:sz w:val="27"/>
          <w:szCs w:val="27"/>
        </w:rPr>
        <w:t xml:space="preserve">  финиша  игроки  команд  располагаются  на определённом  расстоянии (обозначенном месте) друг от друга. Игрок, </w:t>
      </w:r>
      <w:proofErr w:type="gramStart"/>
      <w:r>
        <w:rPr>
          <w:color w:val="000000"/>
          <w:sz w:val="27"/>
          <w:szCs w:val="27"/>
        </w:rPr>
        <w:t>стоящий  на</w:t>
      </w:r>
      <w:proofErr w:type="gramEnd"/>
      <w:r>
        <w:rPr>
          <w:color w:val="000000"/>
          <w:sz w:val="27"/>
          <w:szCs w:val="27"/>
        </w:rPr>
        <w:t xml:space="preserve"> старте  берёт велосипед, по свистку  начинает движение к следующему участнику и так движение продолжается до финиша.</w:t>
      </w:r>
    </w:p>
    <w:p w:rsidR="003100D8" w:rsidRDefault="003100D8" w:rsidP="001467C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100D8" w:rsidRPr="00BC000B" w:rsidRDefault="003100D8" w:rsidP="003100D8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3100D8" w:rsidRPr="00BC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C8"/>
    <w:rsid w:val="001467C4"/>
    <w:rsid w:val="003100D8"/>
    <w:rsid w:val="00A66CB5"/>
    <w:rsid w:val="00AF73D7"/>
    <w:rsid w:val="00B72672"/>
    <w:rsid w:val="00BC000B"/>
    <w:rsid w:val="00E13798"/>
    <w:rsid w:val="00F3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2E7C"/>
  <w15:chartTrackingRefBased/>
  <w15:docId w15:val="{D601A2E7-F0FB-42C6-A989-87A7BC8D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C0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000B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31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7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2021-05-12T09:50:00Z</cp:lastPrinted>
  <dcterms:created xsi:type="dcterms:W3CDTF">2021-05-12T09:24:00Z</dcterms:created>
  <dcterms:modified xsi:type="dcterms:W3CDTF">2021-05-12T10:28:00Z</dcterms:modified>
</cp:coreProperties>
</file>